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F0D" w:rsidRPr="00D24280" w:rsidRDefault="00BD16DC" w:rsidP="009740F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DB09EF"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6 </w:t>
      </w:r>
      <w:r w:rsidRPr="00D24280">
        <w:rPr>
          <w:rFonts w:ascii="Times New Roman" w:hAnsi="Times New Roman" w:cs="Times New Roman"/>
          <w:sz w:val="24"/>
          <w:szCs w:val="24"/>
          <w:lang w:eastAsia="ru-RU"/>
        </w:rPr>
        <w:t>к Учетной политике</w:t>
      </w:r>
    </w:p>
    <w:p w:rsidR="00DB09EF" w:rsidRPr="00D24280" w:rsidRDefault="00DB09EF" w:rsidP="009740F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DB09EF" w:rsidRPr="00D24280" w:rsidRDefault="00DB09EF" w:rsidP="009740F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Бухгалтерский учет событий после окончания отчетного периода </w:t>
      </w:r>
    </w:p>
    <w:p w:rsidR="00D24280" w:rsidRPr="00D24280" w:rsidRDefault="00D24280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09EF" w:rsidRPr="00D24280" w:rsidRDefault="00DB09EF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74E0" w:rsidRDefault="004874E0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74E0" w:rsidRPr="00D24280" w:rsidRDefault="004874E0" w:rsidP="004874E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>Событием после отчетной даты признается факт хозяйственной деятельности, который оказал или может оказать влияние на финансовое состояние, движение денежных средств или результаты деятельности организации и который имел место в период между отчетной датой и датой подписания бухгалтерской отчетности за отчетный год.</w:t>
      </w:r>
    </w:p>
    <w:p w:rsidR="004874E0" w:rsidRDefault="004874E0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К событиям после окончания отчетного периода относятся: </w:t>
      </w:r>
    </w:p>
    <w:p w:rsidR="00BD16DC" w:rsidRPr="00D24280" w:rsidRDefault="00BD16DC" w:rsidP="009740F4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события, подтверждающие условия, существовавшие на отчетную дату (далее- корректирующие события после окончания отчетного периода); </w:t>
      </w:r>
    </w:p>
    <w:p w:rsidR="00BD16DC" w:rsidRPr="00D24280" w:rsidRDefault="00BD16DC" w:rsidP="009740F4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события, свидетельствующие о возникших после окончания отчетного периода условиях (далее - </w:t>
      </w:r>
      <w:proofErr w:type="spellStart"/>
      <w:r w:rsidRPr="00D24280">
        <w:rPr>
          <w:rFonts w:ascii="Times New Roman" w:hAnsi="Times New Roman" w:cs="Times New Roman"/>
          <w:sz w:val="24"/>
          <w:szCs w:val="24"/>
          <w:lang w:eastAsia="ru-RU"/>
        </w:rPr>
        <w:t>некорректирующие</w:t>
      </w:r>
      <w:proofErr w:type="spellEnd"/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 события после окончания отчетного периода).</w:t>
      </w: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74E0" w:rsidRPr="004874E0" w:rsidRDefault="004874E0" w:rsidP="009740F4">
      <w:pPr>
        <w:pStyle w:val="a4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4874E0">
        <w:rPr>
          <w:rFonts w:ascii="Times New Roman" w:hAnsi="Times New Roman" w:cs="Times New Roman"/>
          <w:color w:val="FF0000"/>
          <w:sz w:val="23"/>
          <w:szCs w:val="23"/>
          <w:shd w:val="clear" w:color="auto" w:fill="FFFFFF"/>
        </w:rPr>
        <w:t xml:space="preserve">В целях отражения на счетах бухгалтерского учета событий после отчетного года </w:t>
      </w:r>
      <w:r w:rsidRPr="004874E0">
        <w:rPr>
          <w:rFonts w:ascii="Times New Roman" w:hAnsi="Times New Roman" w:cs="Times New Roman"/>
          <w:color w:val="FF0000"/>
          <w:sz w:val="23"/>
          <w:szCs w:val="23"/>
          <w:shd w:val="clear" w:color="auto" w:fill="FFFFFF"/>
        </w:rPr>
        <w:t>ломбард должен</w:t>
      </w:r>
      <w:r w:rsidRPr="004874E0">
        <w:rPr>
          <w:rFonts w:ascii="Times New Roman" w:hAnsi="Times New Roman" w:cs="Times New Roman"/>
          <w:color w:val="FF0000"/>
          <w:sz w:val="23"/>
          <w:szCs w:val="23"/>
          <w:shd w:val="clear" w:color="auto" w:fill="FFFFFF"/>
        </w:rPr>
        <w:t xml:space="preserve"> разделять события после отчетного года на корректирующие события после отчетного года и </w:t>
      </w:r>
      <w:proofErr w:type="spellStart"/>
      <w:r w:rsidRPr="004874E0">
        <w:rPr>
          <w:rFonts w:ascii="Times New Roman" w:hAnsi="Times New Roman" w:cs="Times New Roman"/>
          <w:color w:val="FF0000"/>
          <w:sz w:val="23"/>
          <w:szCs w:val="23"/>
          <w:shd w:val="clear" w:color="auto" w:fill="FFFFFF"/>
        </w:rPr>
        <w:t>некорректирующие</w:t>
      </w:r>
      <w:proofErr w:type="spellEnd"/>
      <w:r w:rsidRPr="004874E0">
        <w:rPr>
          <w:rFonts w:ascii="Times New Roman" w:hAnsi="Times New Roman" w:cs="Times New Roman"/>
          <w:color w:val="FF0000"/>
          <w:sz w:val="23"/>
          <w:szCs w:val="23"/>
          <w:shd w:val="clear" w:color="auto" w:fill="FFFFFF"/>
        </w:rPr>
        <w:t xml:space="preserve"> события после отчетного года и оценивать их последствия путем осуществления расчетов в денежном выражении.</w:t>
      </w:r>
    </w:p>
    <w:p w:rsidR="004874E0" w:rsidRDefault="004874E0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Отчетной датой считается дата окончания отчетного периода. Дата окончания отчетного периода - это 31 декабря отчетного года. </w:t>
      </w: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>Под датой подписания отчетности подразумевается дата, проставленная при подписании бухгалтерской отчетности.</w:t>
      </w: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Корректирующие события после окончания отчетного периода подлежат отражению в бухгалтерском учете в соответствии с </w:t>
      </w:r>
      <w:r w:rsidR="00D24280" w:rsidRPr="00D24280">
        <w:rPr>
          <w:rFonts w:ascii="Times New Roman" w:hAnsi="Times New Roman" w:cs="Times New Roman"/>
          <w:sz w:val="24"/>
          <w:szCs w:val="24"/>
          <w:lang w:eastAsia="ru-RU"/>
        </w:rPr>
        <w:t>требования нормативных документов Банка России</w:t>
      </w: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4280">
        <w:rPr>
          <w:rFonts w:ascii="Times New Roman" w:hAnsi="Times New Roman" w:cs="Times New Roman"/>
          <w:sz w:val="24"/>
          <w:szCs w:val="24"/>
          <w:lang w:eastAsia="ru-RU"/>
        </w:rPr>
        <w:t>Некорректирующие</w:t>
      </w:r>
      <w:proofErr w:type="spellEnd"/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 события после окончания отчетного периода в бухгалтерском учете не отражаются.</w:t>
      </w: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74E0" w:rsidRPr="004874E0" w:rsidRDefault="004874E0" w:rsidP="004874E0">
      <w:pPr>
        <w:pStyle w:val="a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874E0">
        <w:rPr>
          <w:rFonts w:ascii="Times New Roman" w:hAnsi="Times New Roman" w:cs="Times New Roman"/>
          <w:color w:val="FF0000"/>
          <w:sz w:val="24"/>
          <w:szCs w:val="24"/>
        </w:rPr>
        <w:t>К</w:t>
      </w:r>
      <w:r w:rsidRPr="004874E0">
        <w:rPr>
          <w:rFonts w:ascii="Times New Roman" w:hAnsi="Times New Roman" w:cs="Times New Roman"/>
          <w:color w:val="FF0000"/>
          <w:sz w:val="24"/>
          <w:szCs w:val="24"/>
        </w:rPr>
        <w:t xml:space="preserve"> корректирующим событиям после отчетного года </w:t>
      </w:r>
      <w:r w:rsidRPr="004874E0">
        <w:rPr>
          <w:rFonts w:ascii="Times New Roman" w:hAnsi="Times New Roman" w:cs="Times New Roman"/>
          <w:color w:val="FF0000"/>
          <w:sz w:val="24"/>
          <w:szCs w:val="24"/>
        </w:rPr>
        <w:t>ломбард</w:t>
      </w:r>
      <w:r w:rsidRPr="004874E0">
        <w:rPr>
          <w:rFonts w:ascii="Times New Roman" w:hAnsi="Times New Roman" w:cs="Times New Roman"/>
          <w:color w:val="FF0000"/>
          <w:sz w:val="24"/>
          <w:szCs w:val="24"/>
        </w:rPr>
        <w:t xml:space="preserve"> относит события, существовавшие на отчетную дату, в том числе:</w:t>
      </w:r>
    </w:p>
    <w:p w:rsidR="004874E0" w:rsidRPr="004874E0" w:rsidRDefault="004874E0" w:rsidP="004874E0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874E0">
        <w:rPr>
          <w:rFonts w:ascii="Times New Roman" w:hAnsi="Times New Roman" w:cs="Times New Roman"/>
          <w:color w:val="FF0000"/>
          <w:sz w:val="24"/>
          <w:szCs w:val="24"/>
        </w:rPr>
        <w:t>вступление в законную силу решения суда о нарушении организацией обязательств;</w:t>
      </w:r>
    </w:p>
    <w:p w:rsidR="004874E0" w:rsidRPr="004874E0" w:rsidRDefault="004874E0" w:rsidP="004874E0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874E0">
        <w:rPr>
          <w:rFonts w:ascii="Times New Roman" w:hAnsi="Times New Roman" w:cs="Times New Roman"/>
          <w:color w:val="FF0000"/>
          <w:sz w:val="24"/>
          <w:szCs w:val="24"/>
        </w:rPr>
        <w:t>обесценение актива и (или) корректировка ранее признанного в бухгалтерской (финансовой) отчетности организации резерва под обесценение данного актива;</w:t>
      </w:r>
    </w:p>
    <w:p w:rsidR="004874E0" w:rsidRPr="004874E0" w:rsidRDefault="004874E0" w:rsidP="004874E0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874E0">
        <w:rPr>
          <w:rFonts w:ascii="Times New Roman" w:hAnsi="Times New Roman" w:cs="Times New Roman"/>
          <w:color w:val="FF0000"/>
          <w:sz w:val="24"/>
          <w:szCs w:val="24"/>
        </w:rPr>
        <w:t>признание дебиторов организации несостоятельными (банкротами);</w:t>
      </w:r>
    </w:p>
    <w:p w:rsidR="004874E0" w:rsidRPr="004874E0" w:rsidRDefault="004874E0" w:rsidP="004874E0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874E0">
        <w:rPr>
          <w:rFonts w:ascii="Times New Roman" w:hAnsi="Times New Roman" w:cs="Times New Roman"/>
          <w:color w:val="FF0000"/>
          <w:sz w:val="24"/>
          <w:szCs w:val="24"/>
        </w:rPr>
        <w:t>продажа организацией запасов по цене, отличной от цены, рассчитанной организацией по состоянию на отчетную дату;</w:t>
      </w:r>
    </w:p>
    <w:p w:rsidR="004874E0" w:rsidRPr="004874E0" w:rsidRDefault="004874E0" w:rsidP="004874E0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874E0">
        <w:rPr>
          <w:rFonts w:ascii="Times New Roman" w:hAnsi="Times New Roman" w:cs="Times New Roman"/>
          <w:color w:val="FF0000"/>
          <w:sz w:val="24"/>
          <w:szCs w:val="24"/>
        </w:rPr>
        <w:t>обязанность организации осуществить стимулирующие выплаты работникам организации;</w:t>
      </w:r>
    </w:p>
    <w:p w:rsidR="004874E0" w:rsidRPr="004874E0" w:rsidRDefault="004874E0" w:rsidP="004874E0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874E0">
        <w:rPr>
          <w:rFonts w:ascii="Times New Roman" w:hAnsi="Times New Roman" w:cs="Times New Roman"/>
          <w:color w:val="FF0000"/>
          <w:sz w:val="24"/>
          <w:szCs w:val="24"/>
        </w:rPr>
        <w:t>начисление (корректировка, изменение) налогов и сборов за отчетный год, определение сумм отложенных налоговых обязательств и отложенных налоговых активов по налогу на прибыль организации на конец отчетного года;</w:t>
      </w:r>
    </w:p>
    <w:p w:rsidR="004874E0" w:rsidRPr="004874E0" w:rsidRDefault="004874E0" w:rsidP="004874E0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874E0">
        <w:rPr>
          <w:rFonts w:ascii="Times New Roman" w:hAnsi="Times New Roman" w:cs="Times New Roman"/>
          <w:color w:val="FF0000"/>
          <w:sz w:val="24"/>
          <w:szCs w:val="24"/>
        </w:rPr>
        <w:t>выявление организацией ошибки (ошибок) в бухгалтерском учете и (или) нарушений законодательства Российской Федерации, регулирующего деятельность организации, которые повлияют на ее финансовый результат;</w:t>
      </w:r>
    </w:p>
    <w:p w:rsidR="004874E0" w:rsidRPr="004874E0" w:rsidRDefault="004874E0" w:rsidP="004874E0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874E0">
        <w:rPr>
          <w:rFonts w:ascii="Times New Roman" w:hAnsi="Times New Roman" w:cs="Times New Roman"/>
          <w:color w:val="FF0000"/>
          <w:sz w:val="24"/>
          <w:szCs w:val="24"/>
        </w:rPr>
        <w:t>переоценка основных средств, нематериальных активов, инвестиционного имущества и капитальных вложений в объекты основных средств, нематериальных активов, инвестиционного имущества организации;</w:t>
      </w:r>
    </w:p>
    <w:p w:rsidR="004874E0" w:rsidRPr="004874E0" w:rsidRDefault="004874E0" w:rsidP="004874E0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874E0">
        <w:rPr>
          <w:rFonts w:ascii="Times New Roman" w:hAnsi="Times New Roman" w:cs="Times New Roman"/>
          <w:color w:val="FF0000"/>
          <w:sz w:val="24"/>
          <w:szCs w:val="24"/>
        </w:rPr>
        <w:t>получение организацией, являющейся страхователем, от страховой организации информации об изменении размера страхового возмещения;</w:t>
      </w:r>
    </w:p>
    <w:p w:rsidR="004874E0" w:rsidRPr="004874E0" w:rsidRDefault="004874E0" w:rsidP="004874E0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874E0">
        <w:rPr>
          <w:rFonts w:ascii="Times New Roman" w:hAnsi="Times New Roman" w:cs="Times New Roman"/>
          <w:color w:val="FF0000"/>
          <w:sz w:val="24"/>
          <w:szCs w:val="24"/>
        </w:rPr>
        <w:lastRenderedPageBreak/>
        <w:t>определение размера расходов в связи с принятием организацией решения о закрытии обособленного подразделения организации;</w:t>
      </w:r>
    </w:p>
    <w:p w:rsidR="00BD16DC" w:rsidRPr="004874E0" w:rsidRDefault="004874E0" w:rsidP="004874E0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4874E0">
        <w:rPr>
          <w:rFonts w:ascii="Times New Roman" w:hAnsi="Times New Roman" w:cs="Times New Roman"/>
          <w:color w:val="FF0000"/>
          <w:sz w:val="24"/>
          <w:szCs w:val="24"/>
        </w:rPr>
        <w:t>получение организацией первичных учетных документов, подтверждающих совершение ею операций и (или) уточняющих стоимость активов, работ и услуг по таким операциям, а также уточняющих суммы доходов и расходов.</w:t>
      </w: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D24280" w:rsidRDefault="00BD16DC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Направление </w:t>
      </w:r>
      <w:proofErr w:type="spellStart"/>
      <w:r w:rsidRPr="00D24280">
        <w:rPr>
          <w:rFonts w:ascii="Times New Roman" w:hAnsi="Times New Roman" w:cs="Times New Roman"/>
          <w:sz w:val="24"/>
          <w:szCs w:val="24"/>
          <w:lang w:eastAsia="ru-RU"/>
        </w:rPr>
        <w:t>некредитной</w:t>
      </w:r>
      <w:proofErr w:type="spellEnd"/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 финансовой организацией прибыли на выплату дивидендов, формирование (пополнение) резервного фонда и на иные цели в соответствии с законодательством Российской Федерации по итогам годового отчетного периода не является корректирующим событием.</w:t>
      </w:r>
    </w:p>
    <w:p w:rsidR="009740F4" w:rsidRPr="00D24280" w:rsidRDefault="009740F4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74E0" w:rsidRPr="004874E0" w:rsidRDefault="004874E0" w:rsidP="004874E0">
      <w:pPr>
        <w:pStyle w:val="a4"/>
        <w:ind w:left="708"/>
        <w:rPr>
          <w:rFonts w:ascii="Times New Roman" w:hAnsi="Times New Roman" w:cs="Times New Roman"/>
          <w:color w:val="FF0000"/>
          <w:sz w:val="24"/>
          <w:szCs w:val="24"/>
        </w:rPr>
      </w:pPr>
      <w:r w:rsidRPr="004874E0">
        <w:rPr>
          <w:rFonts w:ascii="Times New Roman" w:hAnsi="Times New Roman" w:cs="Times New Roman"/>
          <w:color w:val="FF0000"/>
          <w:sz w:val="24"/>
          <w:szCs w:val="24"/>
        </w:rPr>
        <w:t>К</w:t>
      </w:r>
      <w:r w:rsidRPr="004874E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4874E0">
        <w:rPr>
          <w:rFonts w:ascii="Times New Roman" w:hAnsi="Times New Roman" w:cs="Times New Roman"/>
          <w:color w:val="FF0000"/>
          <w:sz w:val="24"/>
          <w:szCs w:val="24"/>
        </w:rPr>
        <w:t>некорректирующим</w:t>
      </w:r>
      <w:proofErr w:type="spellEnd"/>
      <w:r w:rsidRPr="004874E0">
        <w:rPr>
          <w:rFonts w:ascii="Times New Roman" w:hAnsi="Times New Roman" w:cs="Times New Roman"/>
          <w:color w:val="FF0000"/>
          <w:sz w:val="24"/>
          <w:szCs w:val="24"/>
        </w:rPr>
        <w:t xml:space="preserve"> событиям после отчетного года </w:t>
      </w:r>
      <w:r>
        <w:rPr>
          <w:rFonts w:ascii="Times New Roman" w:hAnsi="Times New Roman" w:cs="Times New Roman"/>
          <w:color w:val="FF0000"/>
          <w:sz w:val="24"/>
          <w:szCs w:val="24"/>
        </w:rPr>
        <w:t>ломбард</w:t>
      </w:r>
      <w:r w:rsidRPr="004874E0">
        <w:rPr>
          <w:rFonts w:ascii="Times New Roman" w:hAnsi="Times New Roman" w:cs="Times New Roman"/>
          <w:color w:val="FF0000"/>
          <w:sz w:val="24"/>
          <w:szCs w:val="24"/>
        </w:rPr>
        <w:t xml:space="preserve"> относит события, возникшие после отчетного года, в том числе:</w:t>
      </w:r>
    </w:p>
    <w:p w:rsidR="004874E0" w:rsidRPr="004874E0" w:rsidRDefault="004874E0" w:rsidP="004874E0">
      <w:pPr>
        <w:pStyle w:val="a4"/>
        <w:numPr>
          <w:ilvl w:val="0"/>
          <w:numId w:val="36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4874E0">
        <w:rPr>
          <w:rFonts w:ascii="Times New Roman" w:hAnsi="Times New Roman" w:cs="Times New Roman"/>
          <w:color w:val="FF0000"/>
          <w:sz w:val="24"/>
          <w:szCs w:val="24"/>
        </w:rPr>
        <w:t>принятие решения организацией о прекращении ее деятельности;</w:t>
      </w:r>
    </w:p>
    <w:p w:rsidR="004874E0" w:rsidRPr="004874E0" w:rsidRDefault="004874E0" w:rsidP="004874E0">
      <w:pPr>
        <w:pStyle w:val="a4"/>
        <w:numPr>
          <w:ilvl w:val="0"/>
          <w:numId w:val="36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4874E0">
        <w:rPr>
          <w:rFonts w:ascii="Times New Roman" w:hAnsi="Times New Roman" w:cs="Times New Roman"/>
          <w:color w:val="FF0000"/>
          <w:sz w:val="24"/>
          <w:szCs w:val="24"/>
        </w:rPr>
        <w:t>совершение сделок, связанных с приобретением и выбытием активов, классификация активов в качестве долгосрочных активов, предназначенных для продажи;</w:t>
      </w:r>
    </w:p>
    <w:p w:rsidR="004874E0" w:rsidRPr="004874E0" w:rsidRDefault="004874E0" w:rsidP="004874E0">
      <w:pPr>
        <w:pStyle w:val="a4"/>
        <w:numPr>
          <w:ilvl w:val="0"/>
          <w:numId w:val="36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4874E0">
        <w:rPr>
          <w:rFonts w:ascii="Times New Roman" w:hAnsi="Times New Roman" w:cs="Times New Roman"/>
          <w:color w:val="FF0000"/>
          <w:sz w:val="24"/>
          <w:szCs w:val="24"/>
        </w:rPr>
        <w:t>уничтожение существенной части активов организации в результате чрезвычайной ситуации;</w:t>
      </w:r>
    </w:p>
    <w:p w:rsidR="004874E0" w:rsidRPr="004874E0" w:rsidRDefault="004874E0" w:rsidP="004874E0">
      <w:pPr>
        <w:pStyle w:val="a4"/>
        <w:numPr>
          <w:ilvl w:val="0"/>
          <w:numId w:val="36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4874E0">
        <w:rPr>
          <w:rFonts w:ascii="Times New Roman" w:hAnsi="Times New Roman" w:cs="Times New Roman"/>
          <w:color w:val="FF0000"/>
          <w:sz w:val="24"/>
          <w:szCs w:val="24"/>
        </w:rPr>
        <w:t>принятие решения организацией о ее реорганизации;</w:t>
      </w:r>
    </w:p>
    <w:p w:rsidR="004874E0" w:rsidRPr="004874E0" w:rsidRDefault="004874E0" w:rsidP="004874E0">
      <w:pPr>
        <w:pStyle w:val="a4"/>
        <w:numPr>
          <w:ilvl w:val="0"/>
          <w:numId w:val="36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4874E0">
        <w:rPr>
          <w:rFonts w:ascii="Times New Roman" w:hAnsi="Times New Roman" w:cs="Times New Roman"/>
          <w:color w:val="FF0000"/>
          <w:sz w:val="24"/>
          <w:szCs w:val="24"/>
        </w:rPr>
        <w:t>существенные операции с обыкновенными акциями организации, принятие решения об эмиссии акций;</w:t>
      </w:r>
    </w:p>
    <w:p w:rsidR="004874E0" w:rsidRPr="004874E0" w:rsidRDefault="004874E0" w:rsidP="004874E0">
      <w:pPr>
        <w:pStyle w:val="a4"/>
        <w:numPr>
          <w:ilvl w:val="0"/>
          <w:numId w:val="36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4874E0">
        <w:rPr>
          <w:rFonts w:ascii="Times New Roman" w:hAnsi="Times New Roman" w:cs="Times New Roman"/>
          <w:color w:val="FF0000"/>
          <w:sz w:val="24"/>
          <w:szCs w:val="24"/>
        </w:rPr>
        <w:t>существенное изменение стоимости активов или обменных курсов валют;</w:t>
      </w:r>
    </w:p>
    <w:p w:rsidR="004874E0" w:rsidRPr="004874E0" w:rsidRDefault="004874E0" w:rsidP="004874E0">
      <w:pPr>
        <w:pStyle w:val="a4"/>
        <w:numPr>
          <w:ilvl w:val="0"/>
          <w:numId w:val="36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4874E0">
        <w:rPr>
          <w:rFonts w:ascii="Times New Roman" w:hAnsi="Times New Roman" w:cs="Times New Roman"/>
          <w:color w:val="FF0000"/>
          <w:sz w:val="24"/>
          <w:szCs w:val="24"/>
        </w:rPr>
        <w:t>изменения законодательства Российской Федерации о налогах к сборах, оказывающие влияние на текущие и отложенные налоговые активы и отложенные налоговые обязательства организации;</w:t>
      </w:r>
    </w:p>
    <w:p w:rsidR="00BD16DC" w:rsidRPr="004874E0" w:rsidRDefault="004874E0" w:rsidP="004874E0">
      <w:pPr>
        <w:pStyle w:val="a4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4874E0">
        <w:rPr>
          <w:rFonts w:ascii="Times New Roman" w:hAnsi="Times New Roman" w:cs="Times New Roman"/>
          <w:color w:val="FF0000"/>
          <w:sz w:val="24"/>
          <w:szCs w:val="24"/>
        </w:rPr>
        <w:t>участие организации в судебном процессе в связи с осуществляемой ею деятельностью.</w:t>
      </w:r>
    </w:p>
    <w:p w:rsidR="004874E0" w:rsidRDefault="004874E0" w:rsidP="009740F4">
      <w:pPr>
        <w:pStyle w:val="a4"/>
        <w:ind w:left="360" w:firstLine="4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D24280" w:rsidRDefault="00BD16DC" w:rsidP="009740F4">
      <w:pPr>
        <w:pStyle w:val="a4"/>
        <w:ind w:left="360" w:firstLine="4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>Факты хозяйственной жизни, признаваемые событиями после отчетной даты, подлежат отражению в годовой отчетности при условии их существенности.</w:t>
      </w: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D24280" w:rsidRDefault="00BD16DC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Соблюдение принципа существенности приводит к отражению в бухгалтерском учете и бухгалтерской отчетности информации, без знания о которой невозможна достоверная оценка пользователями бухгалтерской отчетности финансового состояния, движения денежных средств или результатов деятельности организации. </w:t>
      </w:r>
    </w:p>
    <w:p w:rsidR="00BD16DC" w:rsidRPr="00D24280" w:rsidRDefault="00BD16DC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D24280" w:rsidRDefault="00BD16DC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>Выделяют два критерия существенности событий после отчетной даты (п. 6 ПБУ 7/98):</w:t>
      </w:r>
    </w:p>
    <w:p w:rsidR="00BD16DC" w:rsidRPr="00D24280" w:rsidRDefault="00BD16DC" w:rsidP="009740F4">
      <w:pPr>
        <w:pStyle w:val="a4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>умалчивание о событии не позволяет достоверно оценить финансовое состояние, движение денег или финансовые результаты деятельности компании;</w:t>
      </w:r>
    </w:p>
    <w:p w:rsidR="00BD16DC" w:rsidRPr="00D24280" w:rsidRDefault="00BD16DC" w:rsidP="009740F4">
      <w:pPr>
        <w:pStyle w:val="a4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>изменения в отчетности, обусловленные событиями после отчетной даты, превышают уровень существенности, установленный в учетной политике организации.</w:t>
      </w:r>
    </w:p>
    <w:p w:rsidR="00BD16DC" w:rsidRPr="00D24280" w:rsidRDefault="00BD16DC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D24280" w:rsidRDefault="00BD16DC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8522F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 xml:space="preserve">Критерием существенности </w:t>
      </w:r>
      <w:r w:rsidR="00B90621" w:rsidRPr="00D8522F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 xml:space="preserve">для признания события после отчетной даты </w:t>
      </w:r>
      <w:r w:rsidRPr="00D8522F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>признается в денежной оценке</w:t>
      </w:r>
      <w:r w:rsidR="00D8522F" w:rsidRPr="00D8522F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 xml:space="preserve"> равной 2 процента от </w:t>
      </w:r>
      <w:proofErr w:type="spellStart"/>
      <w:r w:rsidR="00D8522F" w:rsidRPr="00D8522F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>валюто</w:t>
      </w:r>
      <w:proofErr w:type="spellEnd"/>
      <w:r w:rsidR="00D8522F" w:rsidRPr="00D8522F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>-</w:t>
      </w:r>
      <w:r w:rsidR="00B90621" w:rsidRPr="00D8522F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>баланса.</w:t>
      </w:r>
    </w:p>
    <w:p w:rsidR="00B90621" w:rsidRPr="00D24280" w:rsidRDefault="00B90621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0621" w:rsidRPr="00D24280" w:rsidRDefault="00B90621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>Порядок отражения в бухгалтерской отчетности последствий события, совершившегося после отчетной даты:</w:t>
      </w:r>
    </w:p>
    <w:p w:rsidR="00B90621" w:rsidRPr="00D24280" w:rsidRDefault="00B90621" w:rsidP="009740F4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>В первый рабочий день нового года остатки, отраженные на счетах по учету доходов и расходов №№ 710 - 719, подлежат переносу на соответствующие счета по учету доходов и расходов прошлого года БС №№ 720-729.</w:t>
      </w:r>
    </w:p>
    <w:p w:rsidR="00B90621" w:rsidRPr="00D24280" w:rsidRDefault="00B90621" w:rsidP="009740F4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Корректирующие события после окончания отчетного периода подлежат отражению в бухгалтерском учете на балансовых счетах по учету доходов и расходов прошлого года №№ 720 - 729, а также на балансовых счетах № 10601 «Прирост стоимости имущества при переоценке», № 10603 «Положительная переоценка ценных бумаг, имеющихся в наличии для продажи», № 10605 «Отрицательная переоценка ценных бумаг, имеющихся в наличии для продажи», № 10609 «Увеличение добавочного капитала на отложенный налог на прибыль», № 10610 «Уменьшение добавочного капитала на отложенный налог на прибыль», </w:t>
      </w:r>
      <w:r w:rsidRPr="00D24280">
        <w:rPr>
          <w:rFonts w:ascii="Times New Roman" w:hAnsi="Times New Roman" w:cs="Times New Roman"/>
          <w:sz w:val="24"/>
          <w:szCs w:val="24"/>
        </w:rPr>
        <w:lastRenderedPageBreak/>
        <w:t>№ 10611 «Прирост стоимости нематериальных активов при переоценке», № 10612 «Уменьшение обязательств (увеличение требований) по выплате долгосрочных вознаграждений работникам по окончании трудовой деятельности при переоценке», № 10613 «Увеличение обязательств (уменьшение требований) по выплате долгосрочных вознаграждений работникам по окончании трудовой деятельности при переоценке», № 10619 «Переоценка инструментов хеджирования потоков денежных средств - положительные разницы», № 10620 «Переоценка инструментов хеджирования потоков денежных средств - отрицательные разницы», № 10622 «Положительная переоценка финансовых активов», № 10623 «Отрицательная переоценка финансовых активов», № 10624 «Переоценка инструментов хеджирования чистой инвестиции в иностранное подразделение положительные разницы», № 10625 «Переоценка инструментов хеджирования чистой инвестиции в иностранное подразделение - отрицательные разницы» на дату выявления, но не позднее даты составления годовой бухгалтерской (финансовой) отчетности.</w:t>
      </w:r>
    </w:p>
    <w:p w:rsidR="00B90621" w:rsidRPr="00D24280" w:rsidRDefault="00B90621" w:rsidP="009740F4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События после окончания отчетного периода отражаются только в балансе головного офиса </w:t>
      </w:r>
      <w:proofErr w:type="spellStart"/>
      <w:r w:rsidRPr="00D24280">
        <w:rPr>
          <w:rFonts w:ascii="Times New Roman" w:hAnsi="Times New Roman" w:cs="Times New Roman"/>
          <w:sz w:val="24"/>
          <w:szCs w:val="24"/>
          <w:lang w:eastAsia="ru-RU"/>
        </w:rPr>
        <w:t>некредитной</w:t>
      </w:r>
      <w:proofErr w:type="spellEnd"/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 финансовой организации, поэтому счета по учету доходов и расходов прошлого года № 720 - 729 в филиалах не ведутся</w:t>
      </w:r>
    </w:p>
    <w:p w:rsidR="00B90621" w:rsidRPr="00D24280" w:rsidRDefault="00B90621" w:rsidP="009740F4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Если к моменту возникновения необходимости отражения в бухгалтерском учете корректирующего события после окончания отчетного периода операция уже была некорректно отражена бухгалтерскими записями текущего года, то указанные записи текущего года следует отразить соответствующими </w:t>
      </w:r>
      <w:proofErr w:type="spellStart"/>
      <w:r w:rsidRPr="00D24280">
        <w:rPr>
          <w:rFonts w:ascii="Times New Roman" w:hAnsi="Times New Roman" w:cs="Times New Roman"/>
          <w:sz w:val="24"/>
          <w:szCs w:val="24"/>
          <w:lang w:eastAsia="ru-RU"/>
        </w:rPr>
        <w:t>сторнировочными</w:t>
      </w:r>
      <w:proofErr w:type="spellEnd"/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 записями и затем отразить в бухгалтерском учете корректирующее событие после окончания отчетного периода.</w:t>
      </w:r>
    </w:p>
    <w:p w:rsidR="009740F4" w:rsidRPr="00D24280" w:rsidRDefault="00B90621" w:rsidP="009740F4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На дату подписания годовой бухгалтерской (финансовой) отчетности остатков на счетах № 720 – № 729 быть не должно. </w:t>
      </w:r>
    </w:p>
    <w:p w:rsidR="00B90621" w:rsidRPr="00D24280" w:rsidRDefault="00B90621" w:rsidP="009740F4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Перенос остатков с указанных счетов на счет № 708 «Прибыль (убыток) прошлого года» осуществляются следующими бухгалтерскими записями: </w:t>
      </w:r>
    </w:p>
    <w:p w:rsidR="00B90621" w:rsidRPr="00D24280" w:rsidRDefault="00B90621" w:rsidP="009740F4">
      <w:pPr>
        <w:pStyle w:val="a4"/>
        <w:numPr>
          <w:ilvl w:val="1"/>
          <w:numId w:val="3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При наличии неиспользованной прибыли: </w:t>
      </w:r>
    </w:p>
    <w:p w:rsidR="00B90621" w:rsidRPr="00D24280" w:rsidRDefault="00B90621" w:rsidP="009740F4">
      <w:pPr>
        <w:pStyle w:val="a4"/>
        <w:ind w:left="10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Дебет соответствующих счетов по учету доходов по счетам № 720 – № 729. Кредит счета № 70801 «Прибыль прошлого года», </w:t>
      </w:r>
    </w:p>
    <w:p w:rsidR="00B90621" w:rsidRPr="00D24280" w:rsidRDefault="00B90621" w:rsidP="009740F4">
      <w:pPr>
        <w:pStyle w:val="a4"/>
        <w:ind w:left="10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Дебет счета № 70801 «Прибыль прошлого года» Кредит соответствующих счетов по учету расходов по счетам № 720 – № 729.  </w:t>
      </w:r>
    </w:p>
    <w:p w:rsidR="00D24280" w:rsidRPr="00D24280" w:rsidRDefault="00B90621" w:rsidP="009740F4">
      <w:pPr>
        <w:pStyle w:val="a4"/>
        <w:numPr>
          <w:ilvl w:val="1"/>
          <w:numId w:val="3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При наличии убытка: </w:t>
      </w:r>
    </w:p>
    <w:p w:rsidR="00D24280" w:rsidRPr="00D24280" w:rsidRDefault="00B90621" w:rsidP="00D24280">
      <w:pPr>
        <w:pStyle w:val="a4"/>
        <w:ind w:left="10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Дебет счета № 70802 «Убыток прошлого года» Кредит соответствующих счетов по учету расходов по счетам № 720 – № 729, </w:t>
      </w:r>
    </w:p>
    <w:p w:rsidR="00B90621" w:rsidRPr="00D24280" w:rsidRDefault="00B90621" w:rsidP="00D24280">
      <w:pPr>
        <w:pStyle w:val="a4"/>
        <w:ind w:left="10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>Дебет соответствующих счетов по у</w:t>
      </w:r>
      <w:r w:rsidR="00D24280"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чету доходов по счетам № 720 – </w:t>
      </w:r>
      <w:r w:rsidRPr="00D24280">
        <w:rPr>
          <w:rFonts w:ascii="Times New Roman" w:hAnsi="Times New Roman" w:cs="Times New Roman"/>
          <w:sz w:val="24"/>
          <w:szCs w:val="24"/>
          <w:lang w:eastAsia="ru-RU"/>
        </w:rPr>
        <w:t>№ 729 Кредит счета № 70802 «Убыток прошлого года».</w:t>
      </w:r>
    </w:p>
    <w:p w:rsidR="00B90621" w:rsidRPr="00D24280" w:rsidRDefault="00B90621" w:rsidP="009740F4">
      <w:pPr>
        <w:pStyle w:val="a4"/>
        <w:numPr>
          <w:ilvl w:val="0"/>
          <w:numId w:val="3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отражения зависит от даты поступления документа.</w:t>
      </w:r>
    </w:p>
    <w:p w:rsidR="00B90621" w:rsidRPr="00D24280" w:rsidRDefault="00B90621" w:rsidP="009740F4">
      <w:pPr>
        <w:pStyle w:val="a4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факт хозяйственной жизни произошел в отчетном периоде, </w:t>
      </w:r>
      <w:r w:rsidR="009740F4"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</w:t>
      </w:r>
      <w:r w:rsidR="009740F4"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>жаем</w:t>
      </w:r>
      <w:r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отчетности за этот период.</w:t>
      </w:r>
    </w:p>
    <w:p w:rsidR="00B90621" w:rsidRPr="00D24280" w:rsidRDefault="00B90621" w:rsidP="009740F4">
      <w:pPr>
        <w:pStyle w:val="a4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учесть первичный документ, поступивший после отчетной даты, могут потребоваться корректировки в регистре учета. Исправлением ошибки это не считается, поскольку без первичного документа операцию нельзя было учесть. Так как другого способа корректировки нет, </w:t>
      </w:r>
      <w:r w:rsidR="009740F4"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</w:t>
      </w:r>
      <w:r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отразить операци</w:t>
      </w:r>
      <w:r w:rsidR="009740F4"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</w:t>
      </w:r>
      <w:r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порядке, аналогичном исправлению ошибок:</w:t>
      </w:r>
    </w:p>
    <w:p w:rsidR="00B90621" w:rsidRPr="00D24280" w:rsidRDefault="00B90621" w:rsidP="009740F4">
      <w:pPr>
        <w:pStyle w:val="a4"/>
        <w:numPr>
          <w:ilvl w:val="0"/>
          <w:numId w:val="3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регистре учета на последний день отчетного периода — если первичный документ поступил до даты подписания или принятия отчетности;</w:t>
      </w:r>
    </w:p>
    <w:p w:rsidR="00B90621" w:rsidRPr="00D24280" w:rsidRDefault="00B90621" w:rsidP="009740F4">
      <w:pPr>
        <w:pStyle w:val="a4"/>
        <w:numPr>
          <w:ilvl w:val="0"/>
          <w:numId w:val="3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регистре учета на текущую дату — если первичный документ поступил после даты подписания или принятия квартальной (месячной) отчетности текущего года;</w:t>
      </w:r>
    </w:p>
    <w:p w:rsidR="00B90621" w:rsidRPr="00D24280" w:rsidRDefault="00B90621" w:rsidP="009740F4">
      <w:pPr>
        <w:pStyle w:val="a5"/>
        <w:numPr>
          <w:ilvl w:val="0"/>
          <w:numId w:val="34"/>
        </w:numPr>
        <w:shd w:val="clear" w:color="auto" w:fill="FFFFFF"/>
        <w:spacing w:after="1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отдельном журнале по прочим операциям, аналогично исправлению ошибок прошлых лет, — если первичный документ поступил после даты подписания или принятия годовой отчетности.</w:t>
      </w:r>
      <w:r w:rsidRPr="00D242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740F4" w:rsidRPr="00D24280" w:rsidRDefault="009740F4" w:rsidP="009740F4">
      <w:pPr>
        <w:pStyle w:val="a5"/>
        <w:shd w:val="clear" w:color="auto" w:fill="FFFFFF"/>
        <w:spacing w:after="150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B90621" w:rsidRPr="00D24280" w:rsidRDefault="00B90621" w:rsidP="009740F4">
      <w:pPr>
        <w:pStyle w:val="a5"/>
        <w:numPr>
          <w:ilvl w:val="0"/>
          <w:numId w:val="33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В первый рабочий день нового года остатки, отраженные на счетах </w:t>
      </w:r>
    </w:p>
    <w:p w:rsidR="00B90621" w:rsidRPr="00D24280" w:rsidRDefault="00B90621" w:rsidP="009740F4">
      <w:pPr>
        <w:pStyle w:val="a5"/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710 «Процентные доходы», </w:t>
      </w:r>
    </w:p>
    <w:p w:rsidR="00B90621" w:rsidRPr="00D24280" w:rsidRDefault="00B90621" w:rsidP="009740F4">
      <w:pPr>
        <w:pStyle w:val="a5"/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lastRenderedPageBreak/>
        <w:t>№ 711 «Процентные расходы»,</w:t>
      </w:r>
    </w:p>
    <w:p w:rsidR="00B90621" w:rsidRPr="00D24280" w:rsidRDefault="00B90621" w:rsidP="009740F4">
      <w:pPr>
        <w:pStyle w:val="a5"/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712 «Доходы от восстановления и расходы по формированию резервов под обесценение по финансовым активам, приносящим процентный доход», </w:t>
      </w:r>
    </w:p>
    <w:p w:rsidR="00B90621" w:rsidRPr="00D24280" w:rsidRDefault="00B90621" w:rsidP="009740F4">
      <w:pPr>
        <w:pStyle w:val="a5"/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715 «Доходы и расходы (кроме процентных) от операций с финансовыми инструментами и драгоценными металлами», </w:t>
      </w:r>
    </w:p>
    <w:p w:rsidR="00B90621" w:rsidRPr="00D24280" w:rsidRDefault="00B90621" w:rsidP="009740F4">
      <w:pPr>
        <w:pStyle w:val="a5"/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716 «Комиссионные доходы и доходы от оказания услуг», </w:t>
      </w:r>
    </w:p>
    <w:p w:rsidR="00B90621" w:rsidRPr="00D24280" w:rsidRDefault="00B90621" w:rsidP="009740F4">
      <w:pPr>
        <w:pStyle w:val="a5"/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717 «Доходы и расходы по другим операциям», </w:t>
      </w:r>
    </w:p>
    <w:p w:rsidR="00B90621" w:rsidRPr="00D24280" w:rsidRDefault="00B90621" w:rsidP="009740F4">
      <w:pPr>
        <w:pStyle w:val="a5"/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>№ 718 «Доходы и расходы, связанные с обеспечением деятельности»,</w:t>
      </w:r>
    </w:p>
    <w:p w:rsidR="00B90621" w:rsidRPr="00D24280" w:rsidRDefault="00B90621" w:rsidP="009740F4">
      <w:pPr>
        <w:pStyle w:val="a5"/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719 «Налог на прибыль», </w:t>
      </w:r>
    </w:p>
    <w:p w:rsidR="00B90621" w:rsidRPr="00D24280" w:rsidRDefault="00B90621" w:rsidP="009740F4">
      <w:pPr>
        <w:shd w:val="clear" w:color="auto" w:fill="FFFFFF"/>
        <w:tabs>
          <w:tab w:val="left" w:pos="3120"/>
        </w:tabs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подлежат переносу на счета </w:t>
      </w:r>
      <w:r w:rsidRPr="00D24280">
        <w:rPr>
          <w:rFonts w:ascii="Times New Roman" w:hAnsi="Times New Roman" w:cs="Times New Roman"/>
          <w:sz w:val="24"/>
          <w:szCs w:val="24"/>
        </w:rPr>
        <w:tab/>
      </w:r>
    </w:p>
    <w:p w:rsidR="00B90621" w:rsidRPr="00D24280" w:rsidRDefault="00B90621" w:rsidP="009740F4">
      <w:pPr>
        <w:pStyle w:val="a5"/>
        <w:numPr>
          <w:ilvl w:val="0"/>
          <w:numId w:val="29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720 «Процентные доходы прошлого года», </w:t>
      </w:r>
    </w:p>
    <w:p w:rsidR="00B90621" w:rsidRPr="00D24280" w:rsidRDefault="00B90621" w:rsidP="009740F4">
      <w:pPr>
        <w:pStyle w:val="a5"/>
        <w:numPr>
          <w:ilvl w:val="0"/>
          <w:numId w:val="29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721 «Процентные расходы прошлого года», </w:t>
      </w:r>
    </w:p>
    <w:p w:rsidR="00B90621" w:rsidRPr="00D24280" w:rsidRDefault="00B90621" w:rsidP="009740F4">
      <w:pPr>
        <w:pStyle w:val="a5"/>
        <w:numPr>
          <w:ilvl w:val="0"/>
          <w:numId w:val="29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722 «Доходы от восстановления и расходы по формированию резервов под обесценение по финансовым активам, приносящим процентный доход, прошлого года», </w:t>
      </w:r>
    </w:p>
    <w:p w:rsidR="00B90621" w:rsidRPr="00D24280" w:rsidRDefault="00B90621" w:rsidP="009740F4">
      <w:pPr>
        <w:pStyle w:val="a5"/>
        <w:numPr>
          <w:ilvl w:val="0"/>
          <w:numId w:val="29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725 «Доходы и расходы (кроме процентных) от операций с финансовыми инструментами и драгоценными металлами прошлого года», </w:t>
      </w:r>
    </w:p>
    <w:p w:rsidR="00B90621" w:rsidRPr="00D24280" w:rsidRDefault="00B90621" w:rsidP="009740F4">
      <w:pPr>
        <w:pStyle w:val="a5"/>
        <w:numPr>
          <w:ilvl w:val="0"/>
          <w:numId w:val="29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726 «Комиссионные доходы и доходы от оказания услуг прошлого года», </w:t>
      </w:r>
    </w:p>
    <w:p w:rsidR="00B90621" w:rsidRPr="00D24280" w:rsidRDefault="00B90621" w:rsidP="009740F4">
      <w:pPr>
        <w:pStyle w:val="a5"/>
        <w:numPr>
          <w:ilvl w:val="0"/>
          <w:numId w:val="29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727 «Доходы и расходы по другим операциям прошлого года», </w:t>
      </w:r>
    </w:p>
    <w:p w:rsidR="00B90621" w:rsidRPr="00D24280" w:rsidRDefault="00B90621" w:rsidP="009740F4">
      <w:pPr>
        <w:pStyle w:val="a5"/>
        <w:numPr>
          <w:ilvl w:val="0"/>
          <w:numId w:val="29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728 «Доходы и расходы, связанные с обеспечением деятельности прошлого года», </w:t>
      </w:r>
    </w:p>
    <w:p w:rsidR="00B90621" w:rsidRPr="00D24280" w:rsidRDefault="00B90621" w:rsidP="009740F4">
      <w:pPr>
        <w:pStyle w:val="a5"/>
        <w:numPr>
          <w:ilvl w:val="0"/>
          <w:numId w:val="29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</w:rPr>
        <w:t>№ 729 «Налог на прибыль прошлого года».</w:t>
      </w:r>
    </w:p>
    <w:p w:rsidR="00B90621" w:rsidRPr="00D24280" w:rsidRDefault="00B90621" w:rsidP="009740F4">
      <w:pPr>
        <w:pStyle w:val="a4"/>
        <w:ind w:left="17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40F4" w:rsidRPr="00D24280" w:rsidRDefault="009740F4" w:rsidP="009740F4">
      <w:pPr>
        <w:pStyle w:val="a7"/>
        <w:spacing w:before="0" w:beforeAutospacing="0" w:after="0" w:afterAutospacing="0"/>
        <w:ind w:left="12" w:firstLine="708"/>
        <w:jc w:val="both"/>
        <w:rPr>
          <w:rFonts w:eastAsiaTheme="minorEastAsia"/>
          <w:b/>
          <w:bCs/>
          <w:kern w:val="24"/>
        </w:rPr>
      </w:pPr>
    </w:p>
    <w:p w:rsidR="00B90621" w:rsidRPr="00D24280" w:rsidRDefault="00B90621" w:rsidP="009740F4">
      <w:pPr>
        <w:pStyle w:val="a7"/>
        <w:spacing w:before="0" w:beforeAutospacing="0" w:after="0" w:afterAutospacing="0"/>
        <w:ind w:left="12" w:firstLine="708"/>
        <w:jc w:val="both"/>
        <w:rPr>
          <w:rFonts w:eastAsiaTheme="minorEastAsia"/>
          <w:bCs/>
          <w:kern w:val="24"/>
        </w:rPr>
      </w:pPr>
      <w:r w:rsidRPr="00D24280">
        <w:rPr>
          <w:rFonts w:eastAsiaTheme="minorEastAsia"/>
          <w:bCs/>
          <w:kern w:val="24"/>
        </w:rPr>
        <w:t>Пример проводок в первый рабочий день года, следующего за отчетным – перенос с 71 на 72 счета, то есть закрытие счетов доходов/расходов отчетного года</w:t>
      </w:r>
    </w:p>
    <w:p w:rsidR="009740F4" w:rsidRPr="00D24280" w:rsidRDefault="009740F4" w:rsidP="009740F4">
      <w:pPr>
        <w:pStyle w:val="a7"/>
        <w:spacing w:before="0" w:beforeAutospacing="0" w:after="0" w:afterAutospacing="0"/>
        <w:ind w:left="12" w:firstLine="708"/>
        <w:jc w:val="both"/>
        <w:rPr>
          <w:rFonts w:eastAsiaTheme="minorEastAsia"/>
          <w:bCs/>
          <w:kern w:val="24"/>
        </w:rPr>
      </w:pP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794"/>
        <w:gridCol w:w="2233"/>
        <w:gridCol w:w="2216"/>
        <w:gridCol w:w="2508"/>
        <w:gridCol w:w="1143"/>
      </w:tblGrid>
      <w:tr w:rsidR="00D24280" w:rsidRPr="00D24280" w:rsidTr="009740F4">
        <w:tc>
          <w:tcPr>
            <w:tcW w:w="1794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233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Дт</w:t>
            </w:r>
            <w:proofErr w:type="spellEnd"/>
          </w:p>
        </w:tc>
        <w:tc>
          <w:tcPr>
            <w:tcW w:w="2216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</w:t>
            </w:r>
            <w:proofErr w:type="spellEnd"/>
          </w:p>
        </w:tc>
        <w:tc>
          <w:tcPr>
            <w:tcW w:w="2508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платежа</w:t>
            </w:r>
          </w:p>
        </w:tc>
        <w:tc>
          <w:tcPr>
            <w:tcW w:w="1143" w:type="dxa"/>
          </w:tcPr>
          <w:p w:rsidR="00B90621" w:rsidRPr="00D24280" w:rsidRDefault="009740F4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90621"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умма</w:t>
            </w: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</w:t>
            </w:r>
          </w:p>
        </w:tc>
      </w:tr>
      <w:tr w:rsidR="00D24280" w:rsidRPr="00D24280" w:rsidTr="009740F4">
        <w:tc>
          <w:tcPr>
            <w:tcW w:w="1794" w:type="dxa"/>
          </w:tcPr>
          <w:p w:rsidR="00B90621" w:rsidRPr="00D24280" w:rsidRDefault="004874E0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</w:t>
            </w:r>
            <w:r w:rsidRPr="00487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233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71001810%3111801</w:t>
            </w:r>
          </w:p>
        </w:tc>
        <w:tc>
          <w:tcPr>
            <w:tcW w:w="2216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72001810%3111801</w:t>
            </w:r>
          </w:p>
        </w:tc>
        <w:tc>
          <w:tcPr>
            <w:tcW w:w="2508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hAnsi="Times New Roman" w:cs="Times New Roman"/>
                <w:b/>
                <w:sz w:val="24"/>
                <w:szCs w:val="24"/>
              </w:rPr>
              <w:t>СПОД.</w:t>
            </w:r>
            <w:r w:rsidRPr="00D24280">
              <w:rPr>
                <w:rFonts w:ascii="Times New Roman" w:hAnsi="Times New Roman" w:cs="Times New Roman"/>
                <w:sz w:val="24"/>
                <w:szCs w:val="24"/>
              </w:rPr>
              <w:t xml:space="preserve"> Перенос остатков со счетов 710 "Финансовый результат текущего года" на счета 721 "Финансовый результат прошлого года"</w:t>
            </w:r>
          </w:p>
        </w:tc>
        <w:tc>
          <w:tcPr>
            <w:tcW w:w="1143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1000 000</w:t>
            </w:r>
          </w:p>
        </w:tc>
      </w:tr>
      <w:tr w:rsidR="00D24280" w:rsidRPr="00D24280" w:rsidTr="009740F4">
        <w:tc>
          <w:tcPr>
            <w:tcW w:w="1794" w:type="dxa"/>
          </w:tcPr>
          <w:p w:rsidR="00B90621" w:rsidRPr="00D24280" w:rsidRDefault="004874E0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</w:t>
            </w:r>
            <w:bookmarkStart w:id="0" w:name="_GoBack"/>
            <w:r w:rsidRPr="00487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2025</w:t>
            </w:r>
            <w:bookmarkEnd w:id="0"/>
          </w:p>
        </w:tc>
        <w:tc>
          <w:tcPr>
            <w:tcW w:w="2233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72502810%4140102</w:t>
            </w:r>
          </w:p>
        </w:tc>
        <w:tc>
          <w:tcPr>
            <w:tcW w:w="2216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71502810%4140102</w:t>
            </w:r>
          </w:p>
        </w:tc>
        <w:tc>
          <w:tcPr>
            <w:tcW w:w="2508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280">
              <w:rPr>
                <w:rFonts w:ascii="Times New Roman" w:hAnsi="Times New Roman" w:cs="Times New Roman"/>
                <w:b/>
                <w:sz w:val="24"/>
                <w:szCs w:val="24"/>
              </w:rPr>
              <w:t>СПОД.</w:t>
            </w:r>
            <w:r w:rsidRPr="00D24280">
              <w:rPr>
                <w:rFonts w:ascii="Times New Roman" w:hAnsi="Times New Roman" w:cs="Times New Roman"/>
                <w:sz w:val="24"/>
                <w:szCs w:val="24"/>
              </w:rPr>
              <w:t xml:space="preserve"> Перенос остатков со счетов 715 "Финансовый результат текущего года" на счета 725 "Финансовый результат прошлого года"</w:t>
            </w:r>
          </w:p>
        </w:tc>
        <w:tc>
          <w:tcPr>
            <w:tcW w:w="1143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620 000</w:t>
            </w:r>
          </w:p>
        </w:tc>
      </w:tr>
    </w:tbl>
    <w:p w:rsidR="009740F4" w:rsidRPr="00D24280" w:rsidRDefault="009740F4" w:rsidP="009740F4">
      <w:pPr>
        <w:pStyle w:val="a4"/>
        <w:ind w:left="10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40F4" w:rsidRPr="00D24280" w:rsidRDefault="009740F4" w:rsidP="009740F4">
      <w:pPr>
        <w:pStyle w:val="a4"/>
        <w:ind w:left="10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90621" w:rsidRPr="00D24280" w:rsidRDefault="009740F4" w:rsidP="009740F4">
      <w:pPr>
        <w:pStyle w:val="a4"/>
        <w:ind w:left="10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Формы регистров по отражению операций СПОД</w:t>
      </w:r>
    </w:p>
    <w:p w:rsidR="009740F4" w:rsidRPr="00D24280" w:rsidRDefault="009740F4" w:rsidP="009740F4">
      <w:pPr>
        <w:pStyle w:val="a4"/>
        <w:ind w:left="10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40F4" w:rsidRPr="00D24280" w:rsidRDefault="009740F4" w:rsidP="009740F4">
      <w:pPr>
        <w:pStyle w:val="a5"/>
        <w:numPr>
          <w:ilvl w:val="0"/>
          <w:numId w:val="30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Учет в разрезе лицевых счетов ведется в регистре по форме прил 10 (Положения 579-П). </w:t>
      </w:r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Составляется в разрезе лицевых счетов:</w:t>
      </w:r>
    </w:p>
    <w:p w:rsidR="009740F4" w:rsidRPr="00D24280" w:rsidRDefault="009740F4" w:rsidP="009740F4">
      <w:pPr>
        <w:numPr>
          <w:ilvl w:val="0"/>
          <w:numId w:val="25"/>
        </w:numPr>
        <w:ind w:left="10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lastRenderedPageBreak/>
        <w:t>1-е операции – перенос остатков со счетов доходов/расходов отчетного года на счета доходов/расходов прошлого года.</w:t>
      </w:r>
    </w:p>
    <w:p w:rsidR="009740F4" w:rsidRPr="00D24280" w:rsidRDefault="009740F4" w:rsidP="009740F4">
      <w:pPr>
        <w:numPr>
          <w:ilvl w:val="0"/>
          <w:numId w:val="25"/>
        </w:numPr>
        <w:ind w:left="10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Последние операции - формирование счета 708.</w:t>
      </w:r>
    </w:p>
    <w:p w:rsidR="009740F4" w:rsidRPr="00D24280" w:rsidRDefault="009740F4" w:rsidP="009740F4">
      <w:pPr>
        <w:numPr>
          <w:ilvl w:val="0"/>
          <w:numId w:val="25"/>
        </w:numPr>
        <w:ind w:left="10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Составляется за каждый день где есть операции СПОД</w:t>
      </w:r>
    </w:p>
    <w:p w:rsidR="00BD16DC" w:rsidRPr="00D24280" w:rsidRDefault="009740F4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5CF108A" wp14:editId="43BA4384">
            <wp:extent cx="5414010" cy="2981325"/>
            <wp:effectExtent l="0" t="0" r="0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2981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740F4" w:rsidRPr="00D24280" w:rsidRDefault="009740F4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40F4" w:rsidRPr="00D24280" w:rsidRDefault="009740F4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40F4" w:rsidRPr="00D24280" w:rsidRDefault="009740F4" w:rsidP="009740F4">
      <w:pPr>
        <w:pStyle w:val="a5"/>
        <w:numPr>
          <w:ilvl w:val="0"/>
          <w:numId w:val="30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D242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Для учета сводных оборотов по счетам СПОД  применяется форма из 579-П. Составляется по итогам всех операций СПОД.</w:t>
      </w:r>
    </w:p>
    <w:p w:rsidR="009740F4" w:rsidRPr="00D24280" w:rsidRDefault="009740F4" w:rsidP="009740F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Составляется в разрезе балансовых счетов по ВСЕМ балансовым счетам.</w:t>
      </w:r>
    </w:p>
    <w:p w:rsidR="009740F4" w:rsidRPr="00D24280" w:rsidRDefault="009740F4" w:rsidP="009740F4">
      <w:pPr>
        <w:numPr>
          <w:ilvl w:val="0"/>
          <w:numId w:val="26"/>
        </w:numPr>
        <w:ind w:left="10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Столбцы 3-5 = остатки на б/счетах до проводок СПОД.</w:t>
      </w:r>
    </w:p>
    <w:p w:rsidR="009740F4" w:rsidRPr="00D24280" w:rsidRDefault="009740F4" w:rsidP="009740F4">
      <w:pPr>
        <w:numPr>
          <w:ilvl w:val="0"/>
          <w:numId w:val="26"/>
        </w:numPr>
        <w:ind w:left="10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Столбцы 6-11 = обороты по б/счетам по проводкам СПОД, в </w:t>
      </w:r>
      <w:proofErr w:type="spellStart"/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т.ч</w:t>
      </w:r>
      <w:proofErr w:type="spellEnd"/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. закрытие счетов. доходов/расходов прошлого года и формирование финансового результата (б/счет 708)</w:t>
      </w:r>
    </w:p>
    <w:p w:rsidR="009740F4" w:rsidRPr="00D24280" w:rsidRDefault="009740F4" w:rsidP="009740F4">
      <w:pPr>
        <w:numPr>
          <w:ilvl w:val="0"/>
          <w:numId w:val="26"/>
        </w:numPr>
        <w:ind w:left="10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Столбцы 12-14 = остатки, скорректированные проводками СПОД </w:t>
      </w:r>
      <w:r w:rsidRPr="00D24280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>→</w:t>
      </w:r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</w:t>
      </w:r>
      <w:r w:rsidRPr="00D24280">
        <w:rPr>
          <w:rFonts w:ascii="Times New Roman" w:eastAsiaTheme="minorEastAsia" w:hAnsi="Times New Roman" w:cs="Times New Roman"/>
          <w:i/>
          <w:iCs/>
          <w:kern w:val="24"/>
          <w:sz w:val="24"/>
          <w:szCs w:val="24"/>
          <w:lang w:eastAsia="ru-RU"/>
        </w:rPr>
        <w:t>для составления годовой отчетности (баланс).</w:t>
      </w:r>
    </w:p>
    <w:p w:rsidR="009740F4" w:rsidRPr="00D24280" w:rsidRDefault="009740F4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40F4" w:rsidRPr="00D24280" w:rsidRDefault="009740F4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BBD006F" wp14:editId="7CC68839">
            <wp:extent cx="4828540" cy="4566285"/>
            <wp:effectExtent l="0" t="0" r="0" b="571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8540" cy="4566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A5136" w:rsidRPr="00D24280" w:rsidRDefault="004A5136" w:rsidP="009740F4">
      <w:pPr>
        <w:tabs>
          <w:tab w:val="left" w:pos="31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764F41B" wp14:editId="26F5A453">
            <wp:extent cx="609600" cy="37782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7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A5136" w:rsidRPr="00D24280" w:rsidRDefault="004A5136" w:rsidP="009740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5136" w:rsidRPr="00D24280" w:rsidRDefault="004A5136" w:rsidP="009740F4">
      <w:pPr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FA4B02" w:rsidRPr="00D24280" w:rsidRDefault="00FA4B02" w:rsidP="009740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FA4B02" w:rsidRPr="00D24280" w:rsidSect="009740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C16D1"/>
    <w:multiLevelType w:val="multilevel"/>
    <w:tmpl w:val="18C0F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87C44"/>
    <w:multiLevelType w:val="hybridMultilevel"/>
    <w:tmpl w:val="3E9C3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D66F7"/>
    <w:multiLevelType w:val="multilevel"/>
    <w:tmpl w:val="A7FE4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8776061"/>
    <w:multiLevelType w:val="multilevel"/>
    <w:tmpl w:val="4D621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633BA3"/>
    <w:multiLevelType w:val="multilevel"/>
    <w:tmpl w:val="322AB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5465462"/>
    <w:multiLevelType w:val="hybridMultilevel"/>
    <w:tmpl w:val="E83608A4"/>
    <w:lvl w:ilvl="0" w:tplc="C96CB2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1488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6A65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72BE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A640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EE69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A0A8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0E5A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40B5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8965EBF"/>
    <w:multiLevelType w:val="multilevel"/>
    <w:tmpl w:val="32F0ABE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7" w15:restartNumberingAfterBreak="0">
    <w:nsid w:val="1C9C5537"/>
    <w:multiLevelType w:val="multilevel"/>
    <w:tmpl w:val="D7A69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3925CC4"/>
    <w:multiLevelType w:val="multilevel"/>
    <w:tmpl w:val="05668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4A34447"/>
    <w:multiLevelType w:val="hybridMultilevel"/>
    <w:tmpl w:val="1CE832D2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25710694"/>
    <w:multiLevelType w:val="hybridMultilevel"/>
    <w:tmpl w:val="F704E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CB3601"/>
    <w:multiLevelType w:val="multilevel"/>
    <w:tmpl w:val="25B87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9D225FA"/>
    <w:multiLevelType w:val="multilevel"/>
    <w:tmpl w:val="27F64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1F7B50"/>
    <w:multiLevelType w:val="hybridMultilevel"/>
    <w:tmpl w:val="1696FA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C6AC4"/>
    <w:multiLevelType w:val="multilevel"/>
    <w:tmpl w:val="3C8E7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696AAC"/>
    <w:multiLevelType w:val="multilevel"/>
    <w:tmpl w:val="1B806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703089"/>
    <w:multiLevelType w:val="multilevel"/>
    <w:tmpl w:val="87DED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784253"/>
    <w:multiLevelType w:val="multilevel"/>
    <w:tmpl w:val="52DE8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E938E9"/>
    <w:multiLevelType w:val="multilevel"/>
    <w:tmpl w:val="227C4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C210062"/>
    <w:multiLevelType w:val="multilevel"/>
    <w:tmpl w:val="D1E26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A939C8"/>
    <w:multiLevelType w:val="hybridMultilevel"/>
    <w:tmpl w:val="DCAEA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2275FF"/>
    <w:multiLevelType w:val="hybridMultilevel"/>
    <w:tmpl w:val="B100C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915C52"/>
    <w:multiLevelType w:val="hybridMultilevel"/>
    <w:tmpl w:val="09B02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82A50"/>
    <w:multiLevelType w:val="multilevel"/>
    <w:tmpl w:val="EAA6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F716C8C"/>
    <w:multiLevelType w:val="hybridMultilevel"/>
    <w:tmpl w:val="004A8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71C47"/>
    <w:multiLevelType w:val="hybridMultilevel"/>
    <w:tmpl w:val="01D009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8F33C31"/>
    <w:multiLevelType w:val="multilevel"/>
    <w:tmpl w:val="C67C0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A5419DB"/>
    <w:multiLevelType w:val="hybridMultilevel"/>
    <w:tmpl w:val="4314E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EC6FE0"/>
    <w:multiLevelType w:val="hybridMultilevel"/>
    <w:tmpl w:val="7D64F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A114AA"/>
    <w:multiLevelType w:val="hybridMultilevel"/>
    <w:tmpl w:val="59CA2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610D56"/>
    <w:multiLevelType w:val="hybridMultilevel"/>
    <w:tmpl w:val="9C585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34206A"/>
    <w:multiLevelType w:val="hybridMultilevel"/>
    <w:tmpl w:val="6FFED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683098"/>
    <w:multiLevelType w:val="multilevel"/>
    <w:tmpl w:val="FA04F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B64105C"/>
    <w:multiLevelType w:val="hybridMultilevel"/>
    <w:tmpl w:val="07C21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B943DA"/>
    <w:multiLevelType w:val="hybridMultilevel"/>
    <w:tmpl w:val="8C30AA7E"/>
    <w:lvl w:ilvl="0" w:tplc="2B7CA2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8091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62F7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7A8C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BC8A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B480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72DB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264A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98F6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CBF116D"/>
    <w:multiLevelType w:val="hybridMultilevel"/>
    <w:tmpl w:val="8068A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4"/>
  </w:num>
  <w:num w:numId="4">
    <w:abstractNumId w:val="32"/>
  </w:num>
  <w:num w:numId="5">
    <w:abstractNumId w:val="2"/>
  </w:num>
  <w:num w:numId="6">
    <w:abstractNumId w:val="7"/>
  </w:num>
  <w:num w:numId="7">
    <w:abstractNumId w:val="23"/>
  </w:num>
  <w:num w:numId="8">
    <w:abstractNumId w:val="11"/>
  </w:num>
  <w:num w:numId="9">
    <w:abstractNumId w:val="12"/>
  </w:num>
  <w:num w:numId="10">
    <w:abstractNumId w:val="17"/>
  </w:num>
  <w:num w:numId="11">
    <w:abstractNumId w:val="14"/>
  </w:num>
  <w:num w:numId="12">
    <w:abstractNumId w:val="18"/>
  </w:num>
  <w:num w:numId="13">
    <w:abstractNumId w:val="16"/>
  </w:num>
  <w:num w:numId="14">
    <w:abstractNumId w:val="15"/>
  </w:num>
  <w:num w:numId="15">
    <w:abstractNumId w:val="3"/>
  </w:num>
  <w:num w:numId="16">
    <w:abstractNumId w:val="19"/>
  </w:num>
  <w:num w:numId="17">
    <w:abstractNumId w:val="22"/>
  </w:num>
  <w:num w:numId="18">
    <w:abstractNumId w:val="21"/>
  </w:num>
  <w:num w:numId="19">
    <w:abstractNumId w:val="25"/>
  </w:num>
  <w:num w:numId="20">
    <w:abstractNumId w:val="10"/>
  </w:num>
  <w:num w:numId="21">
    <w:abstractNumId w:val="1"/>
  </w:num>
  <w:num w:numId="22">
    <w:abstractNumId w:val="29"/>
  </w:num>
  <w:num w:numId="23">
    <w:abstractNumId w:val="0"/>
  </w:num>
  <w:num w:numId="24">
    <w:abstractNumId w:val="24"/>
  </w:num>
  <w:num w:numId="25">
    <w:abstractNumId w:val="5"/>
  </w:num>
  <w:num w:numId="26">
    <w:abstractNumId w:val="34"/>
  </w:num>
  <w:num w:numId="27">
    <w:abstractNumId w:val="31"/>
  </w:num>
  <w:num w:numId="28">
    <w:abstractNumId w:val="35"/>
  </w:num>
  <w:num w:numId="29">
    <w:abstractNumId w:val="30"/>
  </w:num>
  <w:num w:numId="30">
    <w:abstractNumId w:val="20"/>
  </w:num>
  <w:num w:numId="31">
    <w:abstractNumId w:val="27"/>
  </w:num>
  <w:num w:numId="32">
    <w:abstractNumId w:val="13"/>
  </w:num>
  <w:num w:numId="33">
    <w:abstractNumId w:val="6"/>
  </w:num>
  <w:num w:numId="34">
    <w:abstractNumId w:val="9"/>
  </w:num>
  <w:num w:numId="35">
    <w:abstractNumId w:val="33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AEB"/>
    <w:rsid w:val="00017EBC"/>
    <w:rsid w:val="000A2FCD"/>
    <w:rsid w:val="00145F9B"/>
    <w:rsid w:val="0019752E"/>
    <w:rsid w:val="001F68C4"/>
    <w:rsid w:val="002231B8"/>
    <w:rsid w:val="00261115"/>
    <w:rsid w:val="00272F7A"/>
    <w:rsid w:val="00356419"/>
    <w:rsid w:val="003F586E"/>
    <w:rsid w:val="004017F3"/>
    <w:rsid w:val="004874E0"/>
    <w:rsid w:val="004A5136"/>
    <w:rsid w:val="004D63DB"/>
    <w:rsid w:val="00592D24"/>
    <w:rsid w:val="006722DC"/>
    <w:rsid w:val="007243E3"/>
    <w:rsid w:val="0079018F"/>
    <w:rsid w:val="007A4151"/>
    <w:rsid w:val="007D78BD"/>
    <w:rsid w:val="00833507"/>
    <w:rsid w:val="009740F4"/>
    <w:rsid w:val="00A5372B"/>
    <w:rsid w:val="00A94AEB"/>
    <w:rsid w:val="00B07064"/>
    <w:rsid w:val="00B1203E"/>
    <w:rsid w:val="00B16159"/>
    <w:rsid w:val="00B90621"/>
    <w:rsid w:val="00BC0388"/>
    <w:rsid w:val="00BD16DC"/>
    <w:rsid w:val="00C422AD"/>
    <w:rsid w:val="00D24280"/>
    <w:rsid w:val="00D4129B"/>
    <w:rsid w:val="00D8522F"/>
    <w:rsid w:val="00DA0115"/>
    <w:rsid w:val="00DB09EF"/>
    <w:rsid w:val="00DC3552"/>
    <w:rsid w:val="00ED2172"/>
    <w:rsid w:val="00F10F0D"/>
    <w:rsid w:val="00F245DC"/>
    <w:rsid w:val="00F50549"/>
    <w:rsid w:val="00F62B4F"/>
    <w:rsid w:val="00FA4B02"/>
    <w:rsid w:val="00FE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10B3E2-658D-457B-B87D-0B117453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6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5372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D78BD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6722DC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FA4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2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1338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728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1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93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80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22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55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14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1298">
                      <w:marLeft w:val="0"/>
                      <w:marRight w:val="0"/>
                      <w:marTop w:val="6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565203">
                          <w:marLeft w:val="255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33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549796">
                          <w:marLeft w:val="255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639587">
                          <w:marLeft w:val="255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097594">
                          <w:marLeft w:val="255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181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700917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64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905223">
                          <w:marLeft w:val="0"/>
                          <w:marRight w:val="0"/>
                          <w:marTop w:val="345"/>
                          <w:marBottom w:val="210"/>
                          <w:divBdr>
                            <w:top w:val="single" w:sz="6" w:space="11" w:color="C1BABA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59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5300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240788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229333">
                                  <w:marLeft w:val="0"/>
                                  <w:marRight w:val="0"/>
                                  <w:marTop w:val="4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688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690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0109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858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6265237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2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02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02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12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8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698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37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85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11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0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8437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36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8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1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6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30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905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4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3944">
          <w:marLeft w:val="525"/>
          <w:marRight w:val="525"/>
          <w:marTop w:val="12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47969">
          <w:marLeft w:val="0"/>
          <w:marRight w:val="0"/>
          <w:marTop w:val="9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9552">
              <w:marLeft w:val="0"/>
              <w:marRight w:val="0"/>
              <w:marTop w:val="30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9921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7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21955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401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5389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6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46172">
          <w:marLeft w:val="525"/>
          <w:marRight w:val="525"/>
          <w:marTop w:val="12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6042">
          <w:marLeft w:val="0"/>
          <w:marRight w:val="0"/>
          <w:marTop w:val="9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83991">
              <w:marLeft w:val="0"/>
              <w:marRight w:val="0"/>
              <w:marTop w:val="30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51085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0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39062">
          <w:marLeft w:val="0"/>
          <w:marRight w:val="0"/>
          <w:marTop w:val="0"/>
          <w:marBottom w:val="0"/>
          <w:divBdr>
            <w:top w:val="single" w:sz="6" w:space="19" w:color="FF9718"/>
            <w:left w:val="single" w:sz="6" w:space="19" w:color="FF9718"/>
            <w:bottom w:val="single" w:sz="6" w:space="19" w:color="FF9718"/>
            <w:right w:val="single" w:sz="6" w:space="19" w:color="FF9718"/>
          </w:divBdr>
          <w:divsChild>
            <w:div w:id="180735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46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1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974096">
              <w:marLeft w:val="0"/>
              <w:marRight w:val="0"/>
              <w:marTop w:val="0"/>
              <w:marBottom w:val="0"/>
              <w:divBdr>
                <w:top w:val="single" w:sz="6" w:space="31" w:color="CCCCCC"/>
                <w:left w:val="single" w:sz="6" w:space="24" w:color="CCCCCC"/>
                <w:bottom w:val="single" w:sz="6" w:space="23" w:color="CCCCCC"/>
                <w:right w:val="single" w:sz="6" w:space="19" w:color="CCCCCC"/>
              </w:divBdr>
              <w:divsChild>
                <w:div w:id="97795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86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12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6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078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1253612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82368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62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942475">
                          <w:marLeft w:val="0"/>
                          <w:marRight w:val="300"/>
                          <w:marTop w:val="0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3762009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300358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793865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9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099402">
                          <w:marLeft w:val="0"/>
                          <w:marRight w:val="0"/>
                          <w:marTop w:val="60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141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68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7897548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998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43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75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9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0901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54815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4625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1828</Words>
  <Characters>10422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mkhristenok@gmail.com</dc:creator>
  <cp:keywords/>
  <dc:description/>
  <cp:lastModifiedBy>mkhristenok@gmail.com</cp:lastModifiedBy>
  <cp:revision>8</cp:revision>
  <dcterms:created xsi:type="dcterms:W3CDTF">2021-12-06T19:47:00Z</dcterms:created>
  <dcterms:modified xsi:type="dcterms:W3CDTF">2024-12-16T19:49:00Z</dcterms:modified>
</cp:coreProperties>
</file>